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052FE" w:rsidRDefault="00A41120" w:rsidP="00F34899">
      <w:pPr>
        <w:spacing w:before="80" w:after="80"/>
        <w:jc w:val="center"/>
        <w:rPr>
          <w:rFonts w:ascii="Arial" w:hAnsi="Arial" w:cs="Arial"/>
          <w:b/>
          <w:color w:val="385623" w:themeColor="accent6" w:themeShade="80"/>
          <w:sz w:val="40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1.3pt;margin-top:3.95pt;width:84.85pt;height:32.05pt;z-index:251659264;mso-position-horizontal-relative:text;mso-position-vertical-relative:text">
            <v:imagedata r:id="rId4" o:title="mailservice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-161026</wp:posOffset>
                </wp:positionV>
                <wp:extent cx="10368915" cy="0"/>
                <wp:effectExtent l="0" t="0" r="3238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891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39385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15pt,-12.7pt" to="821.6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311144" w:rsidRPr="00311144" w:rsidRDefault="00311144" w:rsidP="00F34899">
      <w:pPr>
        <w:spacing w:before="80" w:after="80"/>
        <w:jc w:val="center"/>
        <w:rPr>
          <w:rFonts w:ascii="Arial" w:hAnsi="Arial" w:cs="Arial"/>
          <w:b/>
          <w:color w:val="385623" w:themeColor="accent6" w:themeShade="80"/>
          <w:sz w:val="20"/>
          <w:szCs w:val="16"/>
        </w:rPr>
      </w:pPr>
    </w:p>
    <w:p w:rsidR="00F53210" w:rsidRPr="00A41120" w:rsidRDefault="00CB594C" w:rsidP="00F34899">
      <w:pPr>
        <w:spacing w:before="80" w:after="80"/>
        <w:jc w:val="center"/>
        <w:rPr>
          <w:rFonts w:ascii="Arial" w:hAnsi="Arial" w:cs="Arial"/>
          <w:b/>
          <w:color w:val="000000" w:themeColor="text1"/>
          <w:sz w:val="40"/>
          <w:szCs w:val="16"/>
        </w:rPr>
      </w:pPr>
      <w:r w:rsidRPr="00A41120">
        <w:rPr>
          <w:rFonts w:ascii="Arial" w:hAnsi="Arial" w:cs="Arial"/>
          <w:b/>
          <w:color w:val="000000" w:themeColor="text1"/>
          <w:sz w:val="40"/>
          <w:szCs w:val="16"/>
        </w:rPr>
        <w:t>СРАВНИТЕЛЬНАЯ ТАБЛИЦА ПЕЛЛЕТНЫХ КОТЛОВ</w:t>
      </w:r>
    </w:p>
    <w:p w:rsidR="00A052FE" w:rsidRPr="00A41120" w:rsidRDefault="00A052FE" w:rsidP="00F34899">
      <w:pPr>
        <w:spacing w:before="80" w:after="80"/>
        <w:rPr>
          <w:rFonts w:ascii="Arial" w:hAnsi="Arial" w:cs="Arial"/>
          <w:sz w:val="8"/>
          <w:szCs w:val="16"/>
        </w:rPr>
      </w:pPr>
    </w:p>
    <w:tbl>
      <w:tblPr>
        <w:tblStyle w:val="a3"/>
        <w:tblW w:w="1658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418"/>
        <w:gridCol w:w="1417"/>
        <w:gridCol w:w="1559"/>
        <w:gridCol w:w="1560"/>
        <w:gridCol w:w="1559"/>
        <w:gridCol w:w="1559"/>
      </w:tblGrid>
      <w:tr w:rsidR="001F1A22" w:rsidRPr="00640C25" w:rsidTr="0063349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CB594C" w:rsidRPr="00640C25" w:rsidRDefault="00CB594C" w:rsidP="00F3489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ACV TKAN 1, TKAN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ACV TKAN 60-300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ACV BIOMAX </w:t>
            </w:r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br/>
              <w:t>23, 35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ACV ECO </w:t>
            </w:r>
            <w:proofErr w:type="spellStart"/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Comfort</w:t>
            </w:r>
            <w:proofErr w:type="spellEnd"/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25,45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Roteks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Грандек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Термодинамик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Zota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Старт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FACI </w:t>
            </w:r>
          </w:p>
        </w:tc>
      </w:tr>
      <w:tr w:rsidR="001F1A22" w:rsidRPr="00640C25" w:rsidTr="00311144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CB594C" w:rsidRPr="00311144" w:rsidRDefault="00311144" w:rsidP="0031114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44">
              <w:rPr>
                <w:rFonts w:ascii="Arial" w:hAnsi="Arial" w:cs="Arial"/>
                <w:b/>
                <w:sz w:val="16"/>
                <w:szCs w:val="16"/>
              </w:rPr>
              <w:t>Страна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B594C" w:rsidRPr="00640C25" w:rsidRDefault="00CB594C" w:rsidP="00F34899">
            <w:pPr>
              <w:tabs>
                <w:tab w:val="left" w:pos="360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25">
              <w:rPr>
                <w:rFonts w:ascii="Arial" w:hAnsi="Arial" w:cs="Arial"/>
                <w:sz w:val="16"/>
                <w:szCs w:val="16"/>
              </w:rPr>
              <w:t>Бельгия (Сербия)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1F1A22" w:rsidRPr="00640C25" w:rsidTr="00633490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Мощностная линейка производителя, кВт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35, 50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60, 80, 100, 150, 200, 250, 300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23, 35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25, 45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15, 25, 40, 70, 100, 200, 300, 500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15, 25, 40, 70, 100, 200, 300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17,25, 40, 60, 80, 100, 125, 150, 175, 200, 250, 300, 350, 400, 450, 500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25, 40, 63, 100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30, 100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26, 34, 51, 78, 115, 208, 258, 386, 645, 1033, 1292</w:t>
            </w:r>
          </w:p>
        </w:tc>
      </w:tr>
      <w:tr w:rsidR="001F1A22" w:rsidRPr="00640C25" w:rsidTr="00633490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Подбор котельного оборудования по мощности позволяет не переплачивать за стоимость оборудования и оптимизировать затраты на топливо в течении отопительного сезона.</w:t>
            </w:r>
          </w:p>
        </w:tc>
      </w:tr>
      <w:tr w:rsidR="001F1A22" w:rsidRPr="00640C25" w:rsidTr="003111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теплообменника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>ертикальный, 3-х ходовой пластинчатый теплообменник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>оризонтальный 3-х ходовой трубчатый теплообменник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ертикальный 3-х ходовой трубчатый теплообменник,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с 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>полуавтоматической очисткой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>оризонтальный 3-х ходовой, трубчатый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Вертикальный, трубчатый, 3-х ходовой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Вертикальный, трубчатый, 3-х ходовой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Горизонтальный трубчатый, 4-х ходовой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Горизонтальный трубчатый, 3-х ходовой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Горизонтальный трубчатый, 3-х ходовой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Горизонтальный трубчатый, 2-х серия ECO и 3-х ходовой серия FACI</w:t>
            </w:r>
          </w:p>
        </w:tc>
      </w:tr>
      <w:tr w:rsidR="00CB594C" w:rsidRPr="00640C25" w:rsidTr="00311144">
        <w:tc>
          <w:tcPr>
            <w:tcW w:w="1658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594C" w:rsidRPr="00640C25" w:rsidRDefault="00CB594C" w:rsidP="00F3489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sz w:val="16"/>
                <w:szCs w:val="16"/>
              </w:rPr>
              <w:br/>
              <w:t>Вертикальный теплообменник</w:t>
            </w:r>
            <w:r w:rsidRPr="00640C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D4F" w:rsidRPr="00640C2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0C25">
              <w:rPr>
                <w:rFonts w:ascii="Arial" w:hAnsi="Arial" w:cs="Arial"/>
                <w:sz w:val="16"/>
                <w:szCs w:val="16"/>
              </w:rPr>
              <w:t xml:space="preserve"> основное преимущество конструкции – более длительный цикл работы котла без чистки по сравнению с горизонтальными (реже в 2-3 раза). По вертикальному теплообменнику мелкая зола осыпается в нижнюю часть котла - зольник. Оптимальное решение для котлов небольшой мощности.</w:t>
            </w:r>
            <w:r w:rsidRPr="00640C25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40C25">
              <w:rPr>
                <w:rFonts w:ascii="Arial" w:hAnsi="Arial" w:cs="Arial"/>
                <w:b/>
                <w:sz w:val="16"/>
                <w:szCs w:val="16"/>
              </w:rPr>
              <w:t>Горизонтальный теплообменник</w:t>
            </w:r>
            <w:r w:rsidRPr="00640C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D4F" w:rsidRPr="00640C2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0C25">
              <w:rPr>
                <w:rFonts w:ascii="Arial" w:hAnsi="Arial" w:cs="Arial"/>
                <w:sz w:val="16"/>
                <w:szCs w:val="16"/>
              </w:rPr>
              <w:t xml:space="preserve"> основное преимущество конструкции – компактность котла, минимальные габариты котельной и удобство обслуживания (чистки теплообменника). Оптимальное решение для котлов большой мощности.</w:t>
            </w:r>
            <w:r w:rsidRPr="00640C25">
              <w:rPr>
                <w:rFonts w:ascii="Arial" w:hAnsi="Arial" w:cs="Arial"/>
                <w:sz w:val="16"/>
                <w:szCs w:val="16"/>
              </w:rPr>
              <w:br/>
            </w:r>
            <w:r w:rsidRPr="00640C25">
              <w:rPr>
                <w:rFonts w:ascii="Arial" w:hAnsi="Arial" w:cs="Arial"/>
                <w:sz w:val="16"/>
                <w:szCs w:val="16"/>
              </w:rPr>
              <w:br/>
            </w:r>
            <w:r w:rsidRPr="00640C25">
              <w:rPr>
                <w:rFonts w:ascii="Arial" w:hAnsi="Arial" w:cs="Arial"/>
                <w:b/>
                <w:sz w:val="16"/>
                <w:szCs w:val="16"/>
              </w:rPr>
              <w:t>Пластинчатый теплообменник</w:t>
            </w:r>
            <w:r w:rsidRPr="00640C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D4F" w:rsidRPr="00640C2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0C25">
              <w:rPr>
                <w:rFonts w:ascii="Arial" w:hAnsi="Arial" w:cs="Arial"/>
                <w:sz w:val="16"/>
                <w:szCs w:val="16"/>
              </w:rPr>
              <w:t xml:space="preserve"> основное преимущество конструкции - простота чистки и не прихотливость к качеству </w:t>
            </w:r>
            <w:proofErr w:type="spellStart"/>
            <w:r w:rsidRPr="00640C25">
              <w:rPr>
                <w:rFonts w:ascii="Arial" w:hAnsi="Arial" w:cs="Arial"/>
                <w:sz w:val="16"/>
                <w:szCs w:val="16"/>
              </w:rPr>
              <w:t>пеллет</w:t>
            </w:r>
            <w:proofErr w:type="spellEnd"/>
            <w:r w:rsidRPr="00640C25">
              <w:rPr>
                <w:rFonts w:ascii="Arial" w:hAnsi="Arial" w:cs="Arial"/>
                <w:sz w:val="16"/>
                <w:szCs w:val="16"/>
              </w:rPr>
              <w:t xml:space="preserve">. В пластинчатых теплообменниках установлено всего 4 пластины, а в трубчатых – 8 жаровых труб и более (в зависимости от мощности котла).  Котлы с пластинчатым теплообменником хорошо подходят для </w:t>
            </w:r>
            <w:proofErr w:type="spellStart"/>
            <w:r w:rsidRPr="00640C25">
              <w:rPr>
                <w:rFonts w:ascii="Arial" w:hAnsi="Arial" w:cs="Arial"/>
                <w:sz w:val="16"/>
                <w:szCs w:val="16"/>
              </w:rPr>
              <w:t>пеллет</w:t>
            </w:r>
            <w:proofErr w:type="spellEnd"/>
            <w:r w:rsidRPr="00640C25">
              <w:rPr>
                <w:rFonts w:ascii="Arial" w:hAnsi="Arial" w:cs="Arial"/>
                <w:sz w:val="16"/>
                <w:szCs w:val="16"/>
              </w:rPr>
              <w:t xml:space="preserve"> с повышенной зольностью. Применяется то</w:t>
            </w:r>
            <w:r w:rsidR="00F34899">
              <w:rPr>
                <w:rFonts w:ascii="Arial" w:hAnsi="Arial" w:cs="Arial"/>
                <w:sz w:val="16"/>
                <w:szCs w:val="16"/>
              </w:rPr>
              <w:t>лько в вертикальном исполнение.</w:t>
            </w:r>
            <w:r w:rsidR="00F34899">
              <w:rPr>
                <w:rFonts w:ascii="Arial" w:hAnsi="Arial" w:cs="Arial"/>
                <w:sz w:val="16"/>
                <w:szCs w:val="16"/>
              </w:rPr>
              <w:br/>
            </w:r>
            <w:r w:rsidR="00F34899">
              <w:rPr>
                <w:rFonts w:ascii="Arial" w:hAnsi="Arial" w:cs="Arial"/>
                <w:sz w:val="16"/>
                <w:szCs w:val="16"/>
              </w:rPr>
              <w:br/>
            </w:r>
            <w:r w:rsidRPr="00640C25">
              <w:rPr>
                <w:rFonts w:ascii="Arial" w:hAnsi="Arial" w:cs="Arial"/>
                <w:b/>
                <w:sz w:val="16"/>
                <w:szCs w:val="16"/>
              </w:rPr>
              <w:t>3-х ходовой</w:t>
            </w:r>
            <w:r w:rsidRPr="00640C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D4F" w:rsidRPr="00640C2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0C25">
              <w:rPr>
                <w:rFonts w:ascii="Arial" w:hAnsi="Arial" w:cs="Arial"/>
                <w:sz w:val="16"/>
                <w:szCs w:val="16"/>
              </w:rPr>
              <w:t xml:space="preserve"> означает, что дымовые газы меняют направление движения 2 раза. Это позволяет снимать с дымовых газов максимум тепла. Таким образом</w:t>
            </w:r>
            <w:r w:rsidR="00F34899">
              <w:rPr>
                <w:rFonts w:ascii="Arial" w:hAnsi="Arial" w:cs="Arial"/>
                <w:sz w:val="16"/>
                <w:szCs w:val="16"/>
              </w:rPr>
              <w:t xml:space="preserve"> достигается высокий КПД котла.</w:t>
            </w:r>
            <w:r w:rsidR="00F34899">
              <w:rPr>
                <w:rFonts w:ascii="Arial" w:hAnsi="Arial" w:cs="Arial"/>
                <w:sz w:val="16"/>
                <w:szCs w:val="16"/>
              </w:rPr>
              <w:br/>
            </w:r>
            <w:r w:rsidR="00F34899">
              <w:rPr>
                <w:rFonts w:ascii="Arial" w:hAnsi="Arial" w:cs="Arial"/>
                <w:sz w:val="16"/>
                <w:szCs w:val="16"/>
              </w:rPr>
              <w:br/>
            </w:r>
            <w:r w:rsidRPr="00F34899">
              <w:rPr>
                <w:rFonts w:ascii="Arial" w:hAnsi="Arial" w:cs="Arial"/>
                <w:b/>
                <w:sz w:val="16"/>
                <w:szCs w:val="16"/>
              </w:rPr>
              <w:t xml:space="preserve">Полуавтоматическая очистка </w:t>
            </w:r>
            <w:r w:rsidRPr="00640C25">
              <w:rPr>
                <w:rFonts w:ascii="Arial" w:hAnsi="Arial" w:cs="Arial"/>
                <w:sz w:val="16"/>
                <w:szCs w:val="16"/>
              </w:rPr>
              <w:t>позволяет осуществлять чистку теплообменника без вскрытия конвективной части. Значительно снижает время на обслуживание котла, помогает поддерживать заявленный КПД, а также чистоту в котельной.</w:t>
            </w:r>
            <w:r w:rsidR="00617067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1F1A22" w:rsidRPr="00640C25" w:rsidTr="00633490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Наличие </w:t>
            </w:r>
            <w:proofErr w:type="spellStart"/>
            <w:r w:rsidR="00687D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</w:t>
            </w: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урболизаторов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</w:tr>
      <w:tr w:rsidR="001F1A22" w:rsidRPr="00640C25" w:rsidTr="00633490">
        <w:tc>
          <w:tcPr>
            <w:tcW w:w="1555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Вид </w:t>
            </w:r>
            <w:proofErr w:type="spellStart"/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турболизаторов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Пластинчатые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Спиральные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B594C" w:rsidRPr="00640C25" w:rsidRDefault="00F34899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пиральные </w:t>
            </w:r>
            <w:proofErr w:type="spellStart"/>
            <w:proofErr w:type="gramStart"/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>Полуавтомати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-ческая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чистка.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Пластинчатые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Спиральные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B594C" w:rsidRPr="00640C25" w:rsidRDefault="00687DA6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Спиральные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B594C" w:rsidRPr="00640C25" w:rsidRDefault="00687DA6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Плоские в виде V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594C" w:rsidRPr="00640C25" w:rsidRDefault="00CB594C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Плоские в виде V</w:t>
            </w:r>
          </w:p>
        </w:tc>
      </w:tr>
      <w:tr w:rsidR="00CB594C" w:rsidRPr="00640C25" w:rsidTr="00633490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17067" w:rsidRPr="00617067" w:rsidRDefault="00F34899" w:rsidP="00F34899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Основная функция </w:t>
            </w:r>
            <w:proofErr w:type="spellStart"/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>турболизаторов</w:t>
            </w:r>
            <w:proofErr w:type="spellEnd"/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- замедление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скорости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дымовых газов,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проходящих по конвективной части, для более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эффективного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теплообмена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между ним и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теплоносителем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. В отличие от трубчатых </w:t>
            </w:r>
            <w:proofErr w:type="spellStart"/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>турболизаторов</w:t>
            </w:r>
            <w:proofErr w:type="spellEnd"/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, которые применяются в трубчатых вертикальных или горизонтальных конвективных частях, пластинчатые </w:t>
            </w:r>
            <w:proofErr w:type="spellStart"/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>турболизаторы</w:t>
            </w:r>
            <w:proofErr w:type="spellEnd"/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гораздо проще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бслуживать – вынимать и очищать.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>х всего 2 штуки, а спиральных соотве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тстве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>нно количеств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="00CB594C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труб в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теплообменн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ике.</w:t>
            </w:r>
            <w:r w:rsidR="00CA6C9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1F1A22" w:rsidRPr="00640C25" w:rsidTr="00311144">
        <w:tc>
          <w:tcPr>
            <w:tcW w:w="1555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F34899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Вид горелки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F1A22" w:rsidRPr="00640C25" w:rsidRDefault="002F5D4F" w:rsidP="002F5D4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Ретортная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1A22" w:rsidRPr="00640C25" w:rsidRDefault="001F1A22" w:rsidP="002F5D4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Ретортная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F1A22" w:rsidRPr="00640C25" w:rsidRDefault="002F5D4F" w:rsidP="002F5D4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Ретортная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1A22" w:rsidRPr="00640C25" w:rsidRDefault="002F5D4F" w:rsidP="002F5D4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Ретортная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F1A22" w:rsidRPr="00640C25" w:rsidRDefault="002F5D4F" w:rsidP="002F5D4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Ретортная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F1A22" w:rsidRPr="00640C25" w:rsidRDefault="002F5D4F" w:rsidP="002F5D4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Ретортная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1A22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Ретортная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1A22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Ретортная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1A22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Ретортная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Ретортная</w:t>
            </w:r>
          </w:p>
        </w:tc>
      </w:tr>
      <w:tr w:rsidR="00F34899" w:rsidRPr="00640C25" w:rsidTr="00311144">
        <w:tc>
          <w:tcPr>
            <w:tcW w:w="1555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34899" w:rsidRPr="00640C25" w:rsidRDefault="00F34899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атериал горелки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угунная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899" w:rsidRPr="00640C25" w:rsidRDefault="002F5D4F" w:rsidP="002F5D4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угунная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угунная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угунная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варная металлическая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варная металлическая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угунная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угунная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угунная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угунная</w:t>
            </w:r>
          </w:p>
        </w:tc>
      </w:tr>
      <w:tr w:rsidR="00F34899" w:rsidRPr="00640C25" w:rsidTr="00311144">
        <w:tc>
          <w:tcPr>
            <w:tcW w:w="1555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34899" w:rsidRPr="00640C25" w:rsidRDefault="00F34899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азборная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разборная горелка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азборная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азборная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азборная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азборная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 разборная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 разборная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е разборная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азборная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е разборная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899" w:rsidRPr="00640C25" w:rsidRDefault="002F5D4F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="00F34899" w:rsidRPr="00640C25">
              <w:rPr>
                <w:rFonts w:ascii="Arial" w:hAnsi="Arial" w:cs="Arial"/>
                <w:color w:val="000000"/>
                <w:sz w:val="16"/>
                <w:szCs w:val="16"/>
              </w:rPr>
              <w:t>е разборная</w:t>
            </w:r>
          </w:p>
        </w:tc>
      </w:tr>
      <w:tr w:rsidR="00CB594C" w:rsidRPr="00640C25" w:rsidTr="00311144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594C" w:rsidRPr="000A310B" w:rsidRDefault="002F5D4F" w:rsidP="00F34899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1F1A22" w:rsidRPr="002F5D4F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Ретортные горелки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представляет собой чашу, в которой проис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ходит процесс сжигания.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Пелеты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поступают в горелку снизу. Пламя распространяется вертикально. Дан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ный вид горелки 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позволяет сжигать </w:t>
            </w:r>
            <w:proofErr w:type="spellStart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пеллеты</w:t>
            </w:r>
            <w:proofErr w:type="spellEnd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любого качества.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Стокерные</w:t>
            </w:r>
            <w:r w:rsidR="001F1A22" w:rsidRPr="002F5D4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горелки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пламя распространяется горизонтально.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Очень прихотливы к качеству </w:t>
            </w:r>
            <w:proofErr w:type="spellStart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пеллет</w:t>
            </w:r>
            <w:proofErr w:type="spellEnd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, данную проблему решает установкой системы автоматической очистки горелки.  В случае с полуавтоматическим приводом, велика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вероятность остановки котла из-за некачественных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пеллет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1F1A22" w:rsidRPr="002F5D4F">
              <w:rPr>
                <w:rFonts w:ascii="Arial" w:hAnsi="Arial" w:cs="Arial"/>
                <w:b/>
                <w:color w:val="000000"/>
                <w:sz w:val="16"/>
                <w:szCs w:val="16"/>
              </w:rPr>
              <w:t>Чугун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значительно продлевае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 срок эксплуатации горелки.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F1A22" w:rsidRPr="002F5D4F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Разборная горелка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означает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что горелку возможно разобрать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частям для чистки или замены элементов. При прогорании горелки необходимо будет произвести замену только одной ее части, без лишних финансовых и трудозатрат.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1F1A22" w:rsidRPr="002F5D4F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Неразборная горелка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означает, что при прогорании необходимо поменять горелку целико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(это очень дорого,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требуется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квалифицированный персонал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A6C9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1F1A22" w:rsidRPr="000A310B" w:rsidTr="00633490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Объем бункера в стандартной комплектации, </w:t>
            </w:r>
            <w:r w:rsidR="006522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куб. Метр</w:t>
            </w:r>
            <w:r w:rsidR="006522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</w:t>
            </w:r>
            <w:r w:rsidR="006522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522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литру</w:t>
            </w:r>
            <w:r w:rsidR="006522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</w:t>
            </w:r>
            <w:r w:rsidR="006522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кг.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52209" w:rsidRDefault="001F1A22" w:rsidP="0065220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TKAN 1 - 250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            TKAN 2 - 250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52209" w:rsidRDefault="001F1A22" w:rsidP="0065220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TKAN 60 - 250 </w:t>
            </w:r>
            <w:r w:rsidR="00652209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TKAN 80 - 250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  </w:t>
            </w:r>
            <w:r w:rsid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TKAN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100 - 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450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</w:t>
            </w:r>
            <w:r w:rsid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TKAN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150 - 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450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 </w:t>
            </w:r>
            <w:r w:rsid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TKAN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200 - 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660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</w:t>
            </w:r>
            <w:r w:rsid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TKAN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250 - 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660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  </w:t>
            </w:r>
            <w:r w:rsid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TKAN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300 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</w:rPr>
              <w:t xml:space="preserve">660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52209" w:rsidRDefault="001F1A22" w:rsidP="0065220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BIOMAX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23 - 240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522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5220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5220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BIOMAX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35 - 240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6522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52209" w:rsidRDefault="001F1A22" w:rsidP="0065220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250 </w:t>
            </w:r>
            <w:r w:rsidR="00652209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52209" w:rsidRP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="006522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52209" w:rsidRPr="00597436" w:rsidRDefault="001F1A22" w:rsidP="0065220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Roteks</w:t>
            </w:r>
            <w:proofErr w:type="spellEnd"/>
            <w:r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15</w:t>
            </w:r>
            <w:r w:rsidR="000A310B"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25</w:t>
            </w:r>
            <w:r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- 200</w:t>
            </w:r>
            <w:r w:rsidRPr="00597436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52209"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652209" w:rsidRPr="00597436" w:rsidRDefault="001F1A22" w:rsidP="0065220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Roteks</w:t>
            </w:r>
            <w:proofErr w:type="spellEnd"/>
            <w:r w:rsidR="00652209"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40</w:t>
            </w:r>
            <w:r w:rsidR="000A310B"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70</w:t>
            </w:r>
            <w:r w:rsidR="00652209"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- 500</w:t>
            </w:r>
            <w:r w:rsidRPr="00597436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52209"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652209" w:rsidRPr="00597436" w:rsidRDefault="001F1A22" w:rsidP="0065220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Roteks</w:t>
            </w:r>
            <w:proofErr w:type="spellEnd"/>
            <w:r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100 - 1000 </w:t>
            </w:r>
            <w:r w:rsidRPr="00597436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1F1A22" w:rsidRPr="00640C25" w:rsidRDefault="001F1A22" w:rsidP="000A310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Roteks</w:t>
            </w:r>
            <w:proofErr w:type="spellEnd"/>
            <w:r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200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</w:rPr>
              <w:t>, 300</w:t>
            </w:r>
            <w:r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- 2000</w:t>
            </w:r>
            <w:r w:rsidRPr="00597436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52209" w:rsidRP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7436" w:rsidRDefault="001F1A22" w:rsidP="00597436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25 - 200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597436" w:rsidRDefault="001F1A22" w:rsidP="00597436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40 - 200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597436" w:rsidRDefault="001F1A22" w:rsidP="00597436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70 - 400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597436" w:rsidRDefault="001F1A22" w:rsidP="00597436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100 - 400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597436" w:rsidRDefault="001F1A22" w:rsidP="00597436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200 - 600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1F1A22" w:rsidRPr="00597436" w:rsidRDefault="001F1A22" w:rsidP="00597436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300 - 600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0A310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EKY/S 25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40,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60,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80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EKY/S 100 - </w:t>
            </w:r>
            <w:r w:rsid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1F1A22" w:rsidRPr="000A310B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 xml:space="preserve">130 </w:t>
            </w:r>
            <w:r w:rsidR="001F1A22" w:rsidRPr="000A310B">
              <w:rPr>
                <w:rFonts w:ascii="Arial" w:hAnsi="Arial" w:cs="Arial"/>
                <w:color w:val="000000"/>
                <w:sz w:val="18"/>
                <w:szCs w:val="16"/>
              </w:rPr>
              <w:t>л</w:t>
            </w:r>
            <w:r w:rsidR="00597436" w:rsidRPr="000A310B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125P,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150P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175P,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200P,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EKY/S 250P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5974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1F1A22" w:rsidRPr="000A310B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 xml:space="preserve">160 </w:t>
            </w:r>
            <w:r w:rsidR="001F1A22" w:rsidRPr="000A310B">
              <w:rPr>
                <w:rFonts w:ascii="Arial" w:hAnsi="Arial" w:cs="Arial"/>
                <w:color w:val="000000"/>
                <w:sz w:val="18"/>
                <w:szCs w:val="16"/>
              </w:rPr>
              <w:t>л</w:t>
            </w:r>
            <w:r w:rsidR="001F1A22" w:rsidRPr="000A310B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A310B" w:rsidRDefault="001F1A22" w:rsidP="000A310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Zota</w:t>
            </w:r>
            <w:proofErr w:type="spellEnd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pellet 25 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–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293</w:t>
            </w:r>
            <w:r w:rsidR="000A310B"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0A310B" w:rsidRDefault="001F1A22" w:rsidP="000A310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Zota</w:t>
            </w:r>
            <w:proofErr w:type="spellEnd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pellet 40 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–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293</w:t>
            </w:r>
            <w:r w:rsidR="000A310B"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0A310B" w:rsidRDefault="001F1A22" w:rsidP="000A310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Zota</w:t>
            </w:r>
            <w:proofErr w:type="spellEnd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pellet 63 - 606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1F1A22" w:rsidRPr="00640C25" w:rsidRDefault="001F1A22" w:rsidP="000A310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Zota</w:t>
            </w:r>
            <w:proofErr w:type="spellEnd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pellet 100 - 606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A310B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Старт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30 - 300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1F1A22" w:rsidRPr="000A310B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Старт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100 - 400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0A310B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Faci</w:t>
            </w:r>
            <w:proofErr w:type="spellEnd"/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t xml:space="preserve"> 26 - 200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 w:rsidRPr="000A310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Faci</w:t>
            </w:r>
            <w:proofErr w:type="spellEnd"/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t xml:space="preserve"> 34 - 200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 w:rsidRPr="000A310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Faci</w:t>
            </w:r>
            <w:proofErr w:type="spellEnd"/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t xml:space="preserve"> 51 - 200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 w:rsidRPr="000A310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Faci</w:t>
            </w:r>
            <w:proofErr w:type="spellEnd"/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t xml:space="preserve"> 78 -200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 w:rsidRPr="000A310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Faci</w:t>
            </w:r>
            <w:proofErr w:type="spellEnd"/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t xml:space="preserve"> 115 - 400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 w:rsidRPr="000A310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Faci</w:t>
            </w:r>
            <w:proofErr w:type="spellEnd"/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t xml:space="preserve"> 208 - 400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</w:t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Faci</w:t>
            </w:r>
            <w:proofErr w:type="spellEnd"/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258 - 400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Faci</w:t>
            </w:r>
            <w:proofErr w:type="spellEnd"/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386 - 400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Faci</w:t>
            </w:r>
            <w:proofErr w:type="spellEnd"/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645 - 400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Faci</w:t>
            </w:r>
            <w:proofErr w:type="spellEnd"/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1033 - 400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Faci</w:t>
            </w:r>
            <w:proofErr w:type="spellEnd"/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1292 - 400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0A31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1F1A22" w:rsidRPr="000A310B" w:rsidTr="00633490">
        <w:tc>
          <w:tcPr>
            <w:tcW w:w="1555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Возможность установки бункера право/лево своими силами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</w:tr>
      <w:tr w:rsidR="001F1A22" w:rsidRPr="00640C25" w:rsidTr="00633490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1A22" w:rsidRPr="000A310B" w:rsidRDefault="001F1A22" w:rsidP="000A310B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От объема бункера зависит период загрузки топлива, чем больше бункер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тем реже необходимо производить загрузку. Возможность установки бункера справ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/слева своими силами позволит сам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стоятельно установить котел максимально </w:t>
            </w:r>
            <w:r w:rsidR="000A310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комфортно для Вашей котельной. </w:t>
            </w:r>
            <w:r w:rsidR="00CA6C9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1F1A22" w:rsidRPr="00640C25" w:rsidTr="003111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Система защиты от перегрева на основе встроенного медного теплообменника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F1A22" w:rsidRPr="00640C25" w:rsidTr="00311144">
        <w:tc>
          <w:tcPr>
            <w:tcW w:w="1658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1A22" w:rsidRPr="00640C25" w:rsidRDefault="000A310B" w:rsidP="000A31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Медный змеевик (теплообменник) встроен в водяную рубашку котла и имеет два выхода: к одному подключается сетевой водопровод, через </w:t>
            </w:r>
            <w:proofErr w:type="spellStart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термопредохранительный</w:t>
            </w:r>
            <w:proofErr w:type="spellEnd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клапан, второй выводиться в дренаж. </w:t>
            </w:r>
            <w:proofErr w:type="spellStart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Термопредохранительный</w:t>
            </w:r>
            <w:proofErr w:type="spellEnd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клапан (доп. опция) имеет датчик температур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ы, который встраивается в котел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(специальный разъем), при срабатывание этого датчика (увеличение температуры теплоносителя выше 90 градусов) клапан открывается и впускает холодную воду в змеевик, подогретая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вода выбрасывается в дренаж, 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 тех пор, пока котел не снизит температуру теплоносителя. Система энергонезависима, подключается по усмотрению.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Используется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052FE" w:rsidRPr="00640C25">
              <w:rPr>
                <w:rFonts w:ascii="Arial" w:hAnsi="Arial" w:cs="Arial"/>
                <w:color w:val="000000"/>
                <w:sz w:val="16"/>
                <w:szCs w:val="16"/>
              </w:rPr>
              <w:t>при сжигании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дров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1F1A22" w:rsidRPr="00640C25" w:rsidTr="00633490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Дымосос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F1A22" w:rsidRPr="00640C25" w:rsidTr="00633490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1A22" w:rsidRPr="00640C25" w:rsidRDefault="000A310B" w:rsidP="00F34899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Позволяет настроить правильное разрежение в топке не зависимо от длины дымохода, позволяет контролировать скорость прохождения дымовых газов, исключает задымление котельной. Очень полезная опция, если котел стоит в помещении дома, а не в отдельном строении.</w:t>
            </w:r>
            <w:r w:rsidR="00A052F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1F1A22" w:rsidRPr="00640C25" w:rsidTr="003111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Автоматический </w:t>
            </w:r>
            <w:proofErr w:type="spellStart"/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электророзжиг</w:t>
            </w:r>
            <w:proofErr w:type="spellEnd"/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пеллет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Керамический ТЭН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Феновый</w:t>
            </w:r>
            <w:proofErr w:type="spellEnd"/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авторозжиг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Керамический ТЭН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Керамический ТЭН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Доп.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опция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0A310B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F1A22" w:rsidRPr="00640C25" w:rsidTr="00311144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1A22" w:rsidRPr="00640C25" w:rsidRDefault="000A310B" w:rsidP="00F34899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Автоматика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рассчитана на то, что при отключении электроэнергии, а затем ее включение котел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автоматически разожжет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пеллеты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керамических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тэнов значительно увеличивает срок их эксплуатации и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обеспечивает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более длительную и надежную работу. Материал и диаметр тэна влияет на его срок </w:t>
            </w:r>
            <w:r w:rsidR="00835082" w:rsidRPr="00640C25">
              <w:rPr>
                <w:rFonts w:ascii="Arial" w:hAnsi="Arial" w:cs="Arial"/>
                <w:color w:val="000000"/>
                <w:sz w:val="16"/>
                <w:szCs w:val="16"/>
              </w:rPr>
              <w:t>эксплуатации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052F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1F1A22" w:rsidRPr="00640C25" w:rsidTr="00633490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Возможность сжигания в качестве резервного топлива дрова и уголь, колосниковые пластины для сжигания дров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83508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Есть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(б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ольшой объем топки для резервного топлива), работает по принципу </w:t>
            </w:r>
            <w:proofErr w:type="spellStart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пиролезного</w:t>
            </w:r>
            <w:proofErr w:type="spellEnd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котла, выдает заявленную мощность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83508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</w:rPr>
              <w:br/>
              <w:t>(б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ольшой </w:t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топки для резервного топлива), работает по принципу </w:t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пиролезного</w:t>
            </w:r>
            <w:proofErr w:type="spellEnd"/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котла, выдает заявленную мощность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Нет с 2015 года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голь мелкой фракции, диаметр 15-20 мм,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загрузка через бункер,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при его использовании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мощность котла значительно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снижается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A4112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="00A41120">
              <w:rPr>
                <w:rFonts w:ascii="Arial" w:hAnsi="Arial" w:cs="Arial"/>
                <w:color w:val="000000"/>
                <w:sz w:val="16"/>
                <w:szCs w:val="16"/>
              </w:rPr>
              <w:t>Име</w:t>
            </w:r>
            <w:bookmarkStart w:id="0" w:name="_GoBack"/>
            <w:bookmarkEnd w:id="0"/>
            <w:r w:rsidR="00A41120">
              <w:rPr>
                <w:rFonts w:ascii="Arial" w:hAnsi="Arial" w:cs="Arial"/>
                <w:color w:val="000000"/>
                <w:sz w:val="16"/>
                <w:szCs w:val="16"/>
              </w:rPr>
              <w:t>ются</w:t>
            </w:r>
            <w:proofErr w:type="gramEnd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колосниковые решетки, закладка дров очень маленькая.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F1A22" w:rsidRPr="00640C25" w:rsidTr="00633490">
        <w:tc>
          <w:tcPr>
            <w:tcW w:w="1658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1A22" w:rsidRPr="00640C25" w:rsidRDefault="00835082" w:rsidP="0083508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F1A22" w:rsidRPr="00640C25">
              <w:rPr>
                <w:rFonts w:ascii="Arial" w:hAnsi="Arial" w:cs="Arial"/>
                <w:sz w:val="16"/>
                <w:szCs w:val="16"/>
              </w:rPr>
              <w:t>Позволяет при отсут</w:t>
            </w:r>
            <w:r>
              <w:rPr>
                <w:rFonts w:ascii="Arial" w:hAnsi="Arial" w:cs="Arial"/>
                <w:sz w:val="16"/>
                <w:szCs w:val="16"/>
              </w:rPr>
              <w:t>ст</w:t>
            </w:r>
            <w:r w:rsidR="001F1A22" w:rsidRPr="00640C25">
              <w:rPr>
                <w:rFonts w:ascii="Arial" w:hAnsi="Arial" w:cs="Arial"/>
                <w:sz w:val="16"/>
                <w:szCs w:val="16"/>
              </w:rPr>
              <w:t>ви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1F1A22" w:rsidRPr="00640C25">
              <w:rPr>
                <w:rFonts w:ascii="Arial" w:hAnsi="Arial" w:cs="Arial"/>
                <w:sz w:val="16"/>
                <w:szCs w:val="16"/>
              </w:rPr>
              <w:t xml:space="preserve"> основного топлива (</w:t>
            </w:r>
            <w:proofErr w:type="spellStart"/>
            <w:r w:rsidR="001F1A22" w:rsidRPr="00640C25">
              <w:rPr>
                <w:rFonts w:ascii="Arial" w:hAnsi="Arial" w:cs="Arial"/>
                <w:sz w:val="16"/>
                <w:szCs w:val="16"/>
              </w:rPr>
              <w:t>пеллет</w:t>
            </w:r>
            <w:proofErr w:type="spellEnd"/>
            <w:r w:rsidR="001F1A22" w:rsidRPr="00640C25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40C25">
              <w:rPr>
                <w:rFonts w:ascii="Arial" w:hAnsi="Arial" w:cs="Arial"/>
                <w:sz w:val="16"/>
                <w:szCs w:val="16"/>
              </w:rPr>
              <w:t>эффективно</w:t>
            </w:r>
            <w:r w:rsidR="001F1A22" w:rsidRPr="00640C25">
              <w:rPr>
                <w:rFonts w:ascii="Arial" w:hAnsi="Arial" w:cs="Arial"/>
                <w:sz w:val="16"/>
                <w:szCs w:val="16"/>
              </w:rPr>
              <w:t xml:space="preserve"> сжигать резервное (дрова и уголь). Возможна эксплуатации при проведение ремонтных работ с котлом.</w:t>
            </w:r>
            <w:r w:rsidR="00A052FE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1F1A22" w:rsidRPr="00640C25" w:rsidTr="003111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Автоматическое удаление золы с зольника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F1A22" w:rsidRPr="00640C25" w:rsidTr="00311144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1A22" w:rsidRPr="00835082" w:rsidRDefault="00835082" w:rsidP="00835082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1F1A22" w:rsidRPr="00835082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Автоматическое золоудаление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упрощает процесс удаление золы из топки котла.  Данная опция позволяет своевременно удалять золу в автоматическом режиме. Поскольку при эксплуатации </w:t>
            </w:r>
            <w:proofErr w:type="spellStart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пеллетных</w:t>
            </w:r>
            <w:proofErr w:type="spellEnd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котлов мощностями от 50 кВт и выше сжигается большое количество </w:t>
            </w:r>
            <w:proofErr w:type="spellStart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пеллет</w:t>
            </w:r>
            <w:proofErr w:type="spellEnd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, то при отсутствии автоматического золоудаления, котел необходимо обслуживать ежедневно. При наличие автоматического золоудаления цикл обслуживания котла увеличивается от 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30 дней (в зависимости от </w:t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качества </w:t>
            </w:r>
            <w:proofErr w:type="spellStart"/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пелл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объема бункера для золы). </w:t>
            </w:r>
            <w:r w:rsidR="00A052F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1F1A22" w:rsidRPr="00640C25" w:rsidTr="003111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эксплуатации в России, лет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F1A22" w:rsidRPr="00640C25" w:rsidTr="00633490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1A22" w:rsidRPr="00835082" w:rsidRDefault="00835082" w:rsidP="0083508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1F1A22" w:rsidRPr="008350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Срок эксплуатации говорит о распространенности и популярности бренда, </w:t>
            </w:r>
            <w:r w:rsidRPr="008350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количестве</w:t>
            </w:r>
            <w:r w:rsidR="001F1A22" w:rsidRPr="008350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специалистов, изучивших представленное оборудование, отзывы людей, эксплуатирующих данное оборудование в условиях России.</w:t>
            </w:r>
          </w:p>
        </w:tc>
      </w:tr>
      <w:tr w:rsidR="001F1A22" w:rsidRPr="00640C25" w:rsidTr="003111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Гарантийный срок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Автоматика 2 года, горелка и теплообменник 5 лет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Автоматика 2 года, горелка и теплообменник 5 лет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Автоматика 2 года, горелка и теплообменник 5 лет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Автоматика 2 года, горелка и теплообменник 5 лет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Автоматика 1 год, теплообменник 5 лет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 год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 год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 год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 год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 год</w:t>
            </w:r>
          </w:p>
        </w:tc>
      </w:tr>
      <w:tr w:rsidR="001F1A22" w:rsidRPr="00640C25" w:rsidTr="00311144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1A22" w:rsidRPr="00640C25" w:rsidRDefault="00835082" w:rsidP="0083508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1F1A22" w:rsidRPr="00640C25">
              <w:rPr>
                <w:rFonts w:ascii="Arial" w:hAnsi="Arial" w:cs="Arial"/>
                <w:color w:val="000000"/>
                <w:sz w:val="16"/>
                <w:szCs w:val="16"/>
              </w:rPr>
              <w:t>Гарантийный срок говорит о надежности обору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дования и его отдельных частей.</w:t>
            </w:r>
            <w:r w:rsidR="00A052F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1F1A22" w:rsidRPr="00640C25" w:rsidTr="00633490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F1A22" w:rsidRPr="00640C25" w:rsidRDefault="001F1A22" w:rsidP="00F34899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Заявленный ресурс оборудования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20-25 лет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20-25 лет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20-25 лет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20-25 лет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15-20 лет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до 20 лет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10-12 лет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10-12 лет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10-12 лет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A22" w:rsidRPr="00640C25" w:rsidRDefault="001F1A2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10-12 лет</w:t>
            </w:r>
          </w:p>
        </w:tc>
      </w:tr>
      <w:tr w:rsidR="00640C25" w:rsidRPr="00640C25" w:rsidTr="00633490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0C25" w:rsidRPr="00835082" w:rsidRDefault="00835082" w:rsidP="00F34899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Заявленный</w:t>
            </w:r>
            <w:r w:rsidR="00640C25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срок эксплуатации гово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рит о надежности оборудования. </w:t>
            </w:r>
            <w:r w:rsidR="00A052F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640C25" w:rsidRPr="00640C25" w:rsidTr="003111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Возможность сдать </w:t>
            </w:r>
            <w:proofErr w:type="spellStart"/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пеллетный</w:t>
            </w:r>
            <w:proofErr w:type="spellEnd"/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котел в TRADE IN в ООО "ЭСА"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40C25" w:rsidRPr="00640C25" w:rsidTr="00311144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0C25" w:rsidRPr="00835082" w:rsidRDefault="00835082" w:rsidP="00F34899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Позволяет</w:t>
            </w:r>
            <w:r w:rsidR="00640C25"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приобрести оборудование на короткий срок, до момента 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дключения к магистральному газу</w:t>
            </w:r>
            <w:r w:rsidR="00A052F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640C25" w:rsidRPr="00640C25" w:rsidTr="00311144">
        <w:tc>
          <w:tcPr>
            <w:tcW w:w="165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0C25" w:rsidRPr="00835082" w:rsidRDefault="00640C25" w:rsidP="00835082">
            <w:pPr>
              <w:spacing w:before="80" w:after="8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052F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Дополнительная комплект</w:t>
            </w:r>
            <w:r w:rsidR="00A052FE" w:rsidRPr="00A052F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ация, за дополнительную оплату</w:t>
            </w:r>
          </w:p>
        </w:tc>
      </w:tr>
      <w:tr w:rsidR="00640C25" w:rsidRPr="00640C25" w:rsidTr="003111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GSM контроллер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835082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40C25" w:rsidRPr="00640C25" w:rsidTr="00311144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0C25" w:rsidRPr="00835082" w:rsidRDefault="00835082" w:rsidP="00F34899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40C25" w:rsidRPr="00640C25">
              <w:rPr>
                <w:rFonts w:ascii="Arial" w:hAnsi="Arial" w:cs="Arial"/>
                <w:color w:val="000000"/>
                <w:sz w:val="16"/>
                <w:szCs w:val="16"/>
              </w:rPr>
              <w:t>Система оповещения GSM, информирует о состояние котла, количестве оставшегося топлива и т.д. С его помощью можно произвести запуск и остановку котла. Служит в большей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тепени в качестве информатора. </w:t>
            </w:r>
          </w:p>
        </w:tc>
      </w:tr>
      <w:tr w:rsidR="00640C25" w:rsidRPr="00617067" w:rsidTr="003111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Возможность заказа увеличенного бункера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TKAN 1 - 450 л</w:t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TKAN 2 - 450 л.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35082" w:rsidRDefault="00835082" w:rsidP="0083508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TKAN 60 - 450 л.</w:t>
            </w:r>
          </w:p>
          <w:p w:rsidR="00835082" w:rsidRDefault="00835082" w:rsidP="0083508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TKAN 80 - 450 л.</w:t>
            </w:r>
          </w:p>
          <w:p w:rsidR="00835082" w:rsidRDefault="00640C25" w:rsidP="0083508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TKAN 100 - 650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835082"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835082" w:rsidRDefault="00640C25" w:rsidP="0083508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TKAN 150 - 650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835082"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835082" w:rsidRDefault="00640C25" w:rsidP="0083508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TKAN 200 - 660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835082"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835082" w:rsidRDefault="00640C25" w:rsidP="0083508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TKAN 250 - 660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640C25" w:rsidRPr="00835082" w:rsidRDefault="00640C25" w:rsidP="0083508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TKAN 300 - 660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835082" w:rsidRDefault="00640C25" w:rsidP="0083508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BIOMAX 23 - 475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BIOMAX 35 - 475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835082" w:rsidRDefault="00640C25" w:rsidP="0083508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BIOMAX 23 - </w:t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475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BIOMAX 35 - </w:t>
            </w:r>
            <w:r w:rsid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475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617067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50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                                     </w:t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Roteks</w:t>
            </w:r>
            <w:proofErr w:type="spellEnd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15</w:t>
            </w:r>
            <w:r w:rsidR="00617067" w:rsidRP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25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– 500/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1000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             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Roteks</w:t>
            </w:r>
            <w:proofErr w:type="spellEnd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40</w:t>
            </w:r>
            <w:r w:rsidR="00617067" w:rsidRP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70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- 1000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Roteks</w:t>
            </w:r>
            <w:proofErr w:type="spellEnd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100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</w:rPr>
              <w:t>, 200 -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Roteks</w:t>
            </w:r>
            <w:proofErr w:type="spellEnd"/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300 - 2000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17067" w:rsidRDefault="00640C25" w:rsidP="00617067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25 - 400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617067" w:rsidRDefault="00640C25" w:rsidP="00617067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40 - 400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617067" w:rsidRDefault="00640C25" w:rsidP="00617067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70 - 600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617067" w:rsidRDefault="00640C25" w:rsidP="00617067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100 - 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600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617067" w:rsidRDefault="00640C25" w:rsidP="00617067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Eco 200 -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600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640C25" w:rsidRPr="00640C25" w:rsidRDefault="00640C25" w:rsidP="00617067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300 - 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600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  <w:r w:rsidR="006170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17067" w:rsidRPr="00617067" w:rsidRDefault="00617067" w:rsidP="00617067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EKY/S 25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640C25"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640C25"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640C25"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60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640C25"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KY/S 80 -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640C25" w:rsidRPr="00617067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 xml:space="preserve">260 </w:t>
            </w:r>
            <w:r w:rsidR="00640C25" w:rsidRPr="00617067">
              <w:rPr>
                <w:rFonts w:ascii="Arial" w:hAnsi="Arial" w:cs="Arial"/>
                <w:color w:val="000000"/>
                <w:sz w:val="18"/>
                <w:szCs w:val="16"/>
              </w:rPr>
              <w:t>л</w:t>
            </w:r>
            <w:r w:rsidRPr="00617067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>.</w:t>
            </w:r>
          </w:p>
          <w:p w:rsidR="00640C25" w:rsidRPr="00640C25" w:rsidRDefault="00617067" w:rsidP="00617067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100,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125P,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150P,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175P,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200P,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640C25" w:rsidRPr="00640C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EKY/S 250P 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="00640C25" w:rsidRPr="00617067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 xml:space="preserve">380 </w:t>
            </w:r>
            <w:r w:rsidR="00640C25" w:rsidRPr="00617067">
              <w:rPr>
                <w:rFonts w:ascii="Arial" w:hAnsi="Arial" w:cs="Arial"/>
                <w:color w:val="000000"/>
                <w:sz w:val="18"/>
                <w:szCs w:val="16"/>
              </w:rPr>
              <w:t>л</w:t>
            </w:r>
            <w:r w:rsidR="00640C25" w:rsidRPr="00617067"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17067" w:rsidRDefault="00617067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17067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Старт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100 - 700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17067" w:rsidRDefault="00617067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40C25" w:rsidRPr="00617067" w:rsidTr="00311144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0C25" w:rsidRPr="00617067" w:rsidRDefault="00640C25" w:rsidP="00617067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Возможность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заказа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увеличенного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бункера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позволяет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увеличить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работы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котла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загрузки</w:t>
            </w:r>
            <w:r w:rsidRPr="0061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пеллет</w:t>
            </w:r>
            <w:proofErr w:type="spellEnd"/>
            <w:r w:rsidR="00617067" w:rsidRPr="006170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640C25" w:rsidRPr="00640C25" w:rsidTr="003111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Пневмоочитска</w:t>
            </w:r>
            <w:proofErr w:type="spellEnd"/>
            <w:r w:rsidRPr="0064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теплообменника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17067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17067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17067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40C25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17067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17067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17067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0C25" w:rsidRPr="00640C25" w:rsidRDefault="00617067" w:rsidP="00F34899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40C25" w:rsidRPr="00640C25" w:rsidTr="00311144">
        <w:tc>
          <w:tcPr>
            <w:tcW w:w="165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0C25" w:rsidRPr="00640C25" w:rsidRDefault="00640C25" w:rsidP="0061706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Позволяет проводить </w:t>
            </w:r>
            <w:r w:rsidR="00617067" w:rsidRPr="00640C25">
              <w:rPr>
                <w:rFonts w:ascii="Arial" w:hAnsi="Arial" w:cs="Arial"/>
                <w:color w:val="000000"/>
                <w:sz w:val="16"/>
                <w:szCs w:val="16"/>
              </w:rPr>
              <w:t>чистку</w:t>
            </w:r>
            <w:r w:rsidRPr="0064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теплообменника в автоматическом режиме. Максимально упрощает чистку котла.</w:t>
            </w:r>
          </w:p>
        </w:tc>
      </w:tr>
    </w:tbl>
    <w:p w:rsidR="00CB594C" w:rsidRPr="00640C25" w:rsidRDefault="00A41120" w:rsidP="00A052FE">
      <w:pPr>
        <w:spacing w:before="80" w:after="80"/>
        <w:rPr>
          <w:rFonts w:ascii="Arial" w:hAnsi="Arial" w:cs="Arial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EC1D3" wp14:editId="070EAB73">
                <wp:simplePos x="0" y="0"/>
                <wp:positionH relativeFrom="margin">
                  <wp:align>right</wp:align>
                </wp:positionH>
                <wp:positionV relativeFrom="paragraph">
                  <wp:posOffset>1474302</wp:posOffset>
                </wp:positionV>
                <wp:extent cx="10437962" cy="0"/>
                <wp:effectExtent l="38100" t="19050" r="59055" b="1143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7962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8749C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70.7pt,116.1pt" to="1592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" strokecolor="#70ad47 [3209]" strokeweight="1.5pt">
                <v:stroke joinstyle="miter"/>
                <v:shadow on="t" color="black" opacity="26214f" origin=",-.5" offset="0,3pt"/>
                <w10:wrap anchorx="margin"/>
              </v:line>
            </w:pict>
          </mc:Fallback>
        </mc:AlternateContent>
      </w:r>
    </w:p>
    <w:sectPr w:rsidR="00CB594C" w:rsidRPr="00640C25" w:rsidSect="00A052FE">
      <w:pgSz w:w="16838" w:h="11906" w:orient="landscape"/>
      <w:pgMar w:top="284" w:right="111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1"/>
    <w:rsid w:val="000A310B"/>
    <w:rsid w:val="001F1A22"/>
    <w:rsid w:val="002F5D4F"/>
    <w:rsid w:val="00311144"/>
    <w:rsid w:val="00597436"/>
    <w:rsid w:val="00617067"/>
    <w:rsid w:val="00633490"/>
    <w:rsid w:val="00640C25"/>
    <w:rsid w:val="00652209"/>
    <w:rsid w:val="00687DA6"/>
    <w:rsid w:val="007F34F0"/>
    <w:rsid w:val="00835082"/>
    <w:rsid w:val="00A052FE"/>
    <w:rsid w:val="00A41120"/>
    <w:rsid w:val="00A75021"/>
    <w:rsid w:val="00CA6C91"/>
    <w:rsid w:val="00CB594C"/>
    <w:rsid w:val="00F34899"/>
    <w:rsid w:val="00F5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A988E1-2B0A-4900-B8B5-14F95B8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Сычев</dc:creator>
  <cp:keywords/>
  <dc:description/>
  <cp:lastModifiedBy>Игорь Сычев</cp:lastModifiedBy>
  <cp:revision>7</cp:revision>
  <cp:lastPrinted>2018-02-06T08:55:00Z</cp:lastPrinted>
  <dcterms:created xsi:type="dcterms:W3CDTF">2018-02-06T05:59:00Z</dcterms:created>
  <dcterms:modified xsi:type="dcterms:W3CDTF">2018-02-06T09:06:00Z</dcterms:modified>
</cp:coreProperties>
</file>